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0C5E" w:rsidRP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</w:rPr>
        <w:t>Baroque and Neo-Classicism</w:t>
      </w:r>
    </w:p>
    <w:p w:rsidR="00CB0C5E" w:rsidRP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</w:rPr>
        <w:t>Name</w:t>
      </w:r>
    </w:p>
    <w:p w:rsidR="00CB0C5E" w:rsidRP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CB0C5E" w:rsidRP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</w:rPr>
        <w:t>Course Title</w:t>
      </w:r>
    </w:p>
    <w:p w:rsidR="00CB0C5E" w:rsidRP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</w:rPr>
        <w:t>Date</w:t>
      </w:r>
    </w:p>
    <w:p w:rsidR="00CB0C5E" w:rsidRDefault="00CB0C5E" w:rsidP="0065104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1E1C" w:rsidRPr="00CB0C5E" w:rsidRDefault="003019BB" w:rsidP="0065104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</w:rPr>
        <w:lastRenderedPageBreak/>
        <w:t xml:space="preserve">The painting “The </w:t>
      </w:r>
      <w:r w:rsidR="00625F80">
        <w:rPr>
          <w:rFonts w:ascii="Times New Roman" w:hAnsi="Times New Roman" w:cs="Times New Roman"/>
          <w:sz w:val="24"/>
          <w:szCs w:val="24"/>
        </w:rPr>
        <w:t>G</w:t>
      </w:r>
      <w:r w:rsidRPr="00CB0C5E">
        <w:rPr>
          <w:rFonts w:ascii="Times New Roman" w:hAnsi="Times New Roman" w:cs="Times New Roman"/>
          <w:sz w:val="24"/>
          <w:szCs w:val="24"/>
        </w:rPr>
        <w:t xml:space="preserve">irl with a Pearl </w:t>
      </w:r>
      <w:r w:rsidR="00CB0C5E" w:rsidRPr="00CB0C5E">
        <w:rPr>
          <w:rFonts w:ascii="Times New Roman" w:hAnsi="Times New Roman" w:cs="Times New Roman"/>
          <w:sz w:val="24"/>
          <w:szCs w:val="24"/>
        </w:rPr>
        <w:t>Earring”</w:t>
      </w:r>
      <w:r w:rsidRPr="00CB0C5E">
        <w:rPr>
          <w:rFonts w:ascii="Times New Roman" w:hAnsi="Times New Roman" w:cs="Times New Roman"/>
          <w:sz w:val="24"/>
          <w:szCs w:val="24"/>
        </w:rPr>
        <w:t xml:space="preserve"> by Johannes Vermeer was done in the Dutch Golden Age. This can be identified from the style of culminating in masterpieces, which occurs in the 17</w:t>
      </w:r>
      <w:r w:rsidRPr="00CB0C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B0C5E">
        <w:rPr>
          <w:rFonts w:ascii="Times New Roman" w:hAnsi="Times New Roman" w:cs="Times New Roman"/>
          <w:sz w:val="24"/>
          <w:szCs w:val="24"/>
        </w:rPr>
        <w:t xml:space="preserve"> century in </w:t>
      </w:r>
      <w:r w:rsidR="00625F80">
        <w:rPr>
          <w:rFonts w:ascii="Times New Roman" w:hAnsi="Times New Roman" w:cs="Times New Roman"/>
          <w:sz w:val="24"/>
          <w:szCs w:val="24"/>
        </w:rPr>
        <w:t xml:space="preserve">the </w:t>
      </w:r>
      <w:r w:rsidR="00CB0C5E" w:rsidRPr="00CB0C5E">
        <w:rPr>
          <w:rFonts w:ascii="Times New Roman" w:hAnsi="Times New Roman" w:cs="Times New Roman"/>
          <w:sz w:val="24"/>
          <w:szCs w:val="24"/>
        </w:rPr>
        <w:t>Netherlands</w:t>
      </w:r>
      <w:r w:rsidRPr="00CB0C5E">
        <w:rPr>
          <w:rFonts w:ascii="Times New Roman" w:hAnsi="Times New Roman" w:cs="Times New Roman"/>
          <w:sz w:val="24"/>
          <w:szCs w:val="24"/>
        </w:rPr>
        <w:t xml:space="preserve">. The Dutch Golden Age was a period when </w:t>
      </w:r>
      <w:r w:rsidR="00CB0C5E" w:rsidRPr="00CB0C5E">
        <w:rPr>
          <w:rFonts w:ascii="Times New Roman" w:hAnsi="Times New Roman" w:cs="Times New Roman"/>
          <w:sz w:val="24"/>
          <w:szCs w:val="24"/>
        </w:rPr>
        <w:t>Netherlands</w:t>
      </w:r>
      <w:r w:rsidRPr="00CB0C5E">
        <w:rPr>
          <w:rFonts w:ascii="Times New Roman" w:hAnsi="Times New Roman" w:cs="Times New Roman"/>
          <w:sz w:val="24"/>
          <w:szCs w:val="24"/>
        </w:rPr>
        <w:t xml:space="preserve"> artists experienced a period of artistic prosperity, with their </w:t>
      </w:r>
      <w:r w:rsidR="00625F80" w:rsidRPr="00CB0C5E">
        <w:rPr>
          <w:rFonts w:ascii="Times New Roman" w:hAnsi="Times New Roman" w:cs="Times New Roman"/>
          <w:sz w:val="24"/>
          <w:szCs w:val="24"/>
        </w:rPr>
        <w:t>enlighten</w:t>
      </w:r>
      <w:r w:rsidR="00625F80">
        <w:rPr>
          <w:rFonts w:ascii="Times New Roman" w:hAnsi="Times New Roman" w:cs="Times New Roman"/>
          <w:sz w:val="24"/>
          <w:szCs w:val="24"/>
        </w:rPr>
        <w:t>ment</w:t>
      </w:r>
      <w:r w:rsidRPr="00CB0C5E">
        <w:rPr>
          <w:rFonts w:ascii="Times New Roman" w:hAnsi="Times New Roman" w:cs="Times New Roman"/>
          <w:sz w:val="24"/>
          <w:szCs w:val="24"/>
        </w:rPr>
        <w:t xml:space="preserve"> being </w:t>
      </w:r>
      <w:r w:rsidR="00625F80" w:rsidRPr="00CB0C5E">
        <w:rPr>
          <w:rFonts w:ascii="Times New Roman" w:hAnsi="Times New Roman" w:cs="Times New Roman"/>
          <w:sz w:val="24"/>
          <w:szCs w:val="24"/>
        </w:rPr>
        <w:t>inspired</w:t>
      </w:r>
      <w:r w:rsidRPr="00CB0C5E">
        <w:rPr>
          <w:rFonts w:ascii="Times New Roman" w:hAnsi="Times New Roman" w:cs="Times New Roman"/>
          <w:sz w:val="24"/>
          <w:szCs w:val="24"/>
        </w:rPr>
        <w:t xml:space="preserve"> by the Northern Renaissance </w:t>
      </w:r>
      <w:r w:rsidR="00625F80" w:rsidRPr="00CB0C5E">
        <w:rPr>
          <w:rFonts w:ascii="Times New Roman" w:hAnsi="Times New Roman" w:cs="Times New Roman"/>
          <w:sz w:val="24"/>
          <w:szCs w:val="24"/>
        </w:rPr>
        <w:t>painting</w:t>
      </w:r>
      <w:r w:rsidRPr="00CB0C5E">
        <w:rPr>
          <w:rFonts w:ascii="Times New Roman" w:hAnsi="Times New Roman" w:cs="Times New Roman"/>
          <w:sz w:val="24"/>
          <w:szCs w:val="24"/>
        </w:rPr>
        <w:t xml:space="preserve"> styles as represented by the painting “The girl with a Pearl </w:t>
      </w:r>
      <w:r w:rsidR="00625F80" w:rsidRPr="00CB0C5E">
        <w:rPr>
          <w:rFonts w:ascii="Times New Roman" w:hAnsi="Times New Roman" w:cs="Times New Roman"/>
          <w:sz w:val="24"/>
          <w:szCs w:val="24"/>
        </w:rPr>
        <w:t>Earring”</w:t>
      </w:r>
      <w:r w:rsidRPr="00CB0C5E">
        <w:rPr>
          <w:rFonts w:ascii="Times New Roman" w:hAnsi="Times New Roman" w:cs="Times New Roman"/>
          <w:sz w:val="24"/>
          <w:szCs w:val="24"/>
        </w:rPr>
        <w:t xml:space="preserve">. </w:t>
      </w:r>
      <w:r w:rsidR="00007C22" w:rsidRPr="00CB0C5E">
        <w:rPr>
          <w:rFonts w:ascii="Times New Roman" w:hAnsi="Times New Roman" w:cs="Times New Roman"/>
          <w:sz w:val="24"/>
          <w:szCs w:val="24"/>
        </w:rPr>
        <w:t>The</w:t>
      </w:r>
      <w:r w:rsidRPr="00CB0C5E">
        <w:rPr>
          <w:rFonts w:ascii="Times New Roman" w:hAnsi="Times New Roman" w:cs="Times New Roman"/>
          <w:sz w:val="24"/>
          <w:szCs w:val="24"/>
        </w:rPr>
        <w:t xml:space="preserve"> chiaroscuro of the painting is represented by the soft shadow on the left side of her body and the variation in her turned face. The chia</w:t>
      </w:r>
      <w:r w:rsidR="00CB0C5E" w:rsidRPr="00CB0C5E">
        <w:rPr>
          <w:rFonts w:ascii="Times New Roman" w:hAnsi="Times New Roman" w:cs="Times New Roman"/>
          <w:sz w:val="24"/>
          <w:szCs w:val="24"/>
        </w:rPr>
        <w:t>roscuro is modulated by sfumato, (</w:t>
      </w:r>
      <w:r w:rsidR="00CB0C5E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Vandivere, </w:t>
      </w:r>
      <w:r w:rsidR="00CB0C5E" w:rsidRPr="00CB0C5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CB0C5E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2020). </w:t>
      </w:r>
      <w:r w:rsidRPr="00CB0C5E">
        <w:rPr>
          <w:rFonts w:ascii="Times New Roman" w:hAnsi="Times New Roman" w:cs="Times New Roman"/>
          <w:sz w:val="24"/>
          <w:szCs w:val="24"/>
        </w:rPr>
        <w:t xml:space="preserve"> </w:t>
      </w:r>
      <w:r w:rsidR="00625F80" w:rsidRPr="00CB0C5E">
        <w:rPr>
          <w:rFonts w:ascii="Times New Roman" w:hAnsi="Times New Roman" w:cs="Times New Roman"/>
          <w:sz w:val="24"/>
          <w:szCs w:val="24"/>
        </w:rPr>
        <w:t>Vermeer</w:t>
      </w:r>
      <w:r w:rsidRPr="00CB0C5E">
        <w:rPr>
          <w:rFonts w:ascii="Times New Roman" w:hAnsi="Times New Roman" w:cs="Times New Roman"/>
          <w:sz w:val="24"/>
          <w:szCs w:val="24"/>
        </w:rPr>
        <w:t xml:space="preserve"> crafted a monochromatic underpainting, a style referred to as “dead </w:t>
      </w:r>
      <w:r w:rsidR="00625F80" w:rsidRPr="00CB0C5E">
        <w:rPr>
          <w:rFonts w:ascii="Times New Roman" w:hAnsi="Times New Roman" w:cs="Times New Roman"/>
          <w:sz w:val="24"/>
          <w:szCs w:val="24"/>
        </w:rPr>
        <w:t>coloring</w:t>
      </w:r>
      <w:r w:rsidRPr="00CB0C5E">
        <w:rPr>
          <w:rFonts w:ascii="Times New Roman" w:hAnsi="Times New Roman" w:cs="Times New Roman"/>
          <w:sz w:val="24"/>
          <w:szCs w:val="24"/>
        </w:rPr>
        <w:t xml:space="preserve">”, with </w:t>
      </w:r>
      <w:r w:rsidR="00625F80">
        <w:rPr>
          <w:rFonts w:ascii="Times New Roman" w:hAnsi="Times New Roman" w:cs="Times New Roman"/>
          <w:sz w:val="24"/>
          <w:szCs w:val="24"/>
        </w:rPr>
        <w:t xml:space="preserve">the </w:t>
      </w:r>
      <w:r w:rsidRPr="00CB0C5E">
        <w:rPr>
          <w:rFonts w:ascii="Times New Roman" w:hAnsi="Times New Roman" w:cs="Times New Roman"/>
          <w:sz w:val="24"/>
          <w:szCs w:val="24"/>
        </w:rPr>
        <w:t xml:space="preserve">distribution of lights and darks to add a deep </w:t>
      </w:r>
      <w:r w:rsidR="00CF6FB9" w:rsidRPr="00CB0C5E">
        <w:rPr>
          <w:rFonts w:ascii="Times New Roman" w:hAnsi="Times New Roman" w:cs="Times New Roman"/>
          <w:sz w:val="24"/>
          <w:szCs w:val="24"/>
        </w:rPr>
        <w:t xml:space="preserve">composition to the completion of the drawing. Vermeer also demonstrated his </w:t>
      </w:r>
      <w:r w:rsidR="00A86F24" w:rsidRPr="00CB0C5E">
        <w:rPr>
          <w:rFonts w:ascii="Times New Roman" w:hAnsi="Times New Roman" w:cs="Times New Roman"/>
          <w:sz w:val="24"/>
          <w:szCs w:val="24"/>
        </w:rPr>
        <w:t xml:space="preserve">polychromatic </w:t>
      </w:r>
      <w:r w:rsidR="00CF6FB9" w:rsidRPr="00CB0C5E">
        <w:rPr>
          <w:rFonts w:ascii="Times New Roman" w:hAnsi="Times New Roman" w:cs="Times New Roman"/>
          <w:sz w:val="24"/>
          <w:szCs w:val="24"/>
        </w:rPr>
        <w:t xml:space="preserve">love for color, especially ultramarine blues. The paint is done using </w:t>
      </w:r>
      <w:r w:rsidR="00625F80">
        <w:rPr>
          <w:rFonts w:ascii="Times New Roman" w:hAnsi="Times New Roman" w:cs="Times New Roman"/>
          <w:sz w:val="24"/>
          <w:szCs w:val="24"/>
        </w:rPr>
        <w:t xml:space="preserve">a </w:t>
      </w:r>
      <w:r w:rsidR="00FC6C9B" w:rsidRPr="00CB0C5E">
        <w:rPr>
          <w:rFonts w:ascii="Times New Roman" w:hAnsi="Times New Roman" w:cs="Times New Roman"/>
          <w:sz w:val="24"/>
          <w:szCs w:val="24"/>
        </w:rPr>
        <w:t>color</w:t>
      </w:r>
      <w:r w:rsidR="00CF6FB9" w:rsidRPr="00CB0C5E">
        <w:rPr>
          <w:rFonts w:ascii="Times New Roman" w:hAnsi="Times New Roman" w:cs="Times New Roman"/>
          <w:sz w:val="24"/>
          <w:szCs w:val="24"/>
        </w:rPr>
        <w:t xml:space="preserve"> </w:t>
      </w:r>
      <w:r w:rsidR="00FC6C9B">
        <w:rPr>
          <w:rFonts w:ascii="Times New Roman" w:hAnsi="Times New Roman" w:cs="Times New Roman"/>
          <w:sz w:val="24"/>
          <w:szCs w:val="24"/>
        </w:rPr>
        <w:t xml:space="preserve">derived from </w:t>
      </w:r>
      <w:proofErr w:type="spellStart"/>
      <w:r w:rsidR="00FC6C9B">
        <w:rPr>
          <w:rFonts w:ascii="Times New Roman" w:hAnsi="Times New Roman" w:cs="Times New Roman"/>
          <w:sz w:val="24"/>
          <w:szCs w:val="24"/>
        </w:rPr>
        <w:t>lazurite</w:t>
      </w:r>
      <w:proofErr w:type="spellEnd"/>
      <w:r w:rsidR="00FC6C9B">
        <w:rPr>
          <w:rFonts w:ascii="Times New Roman" w:hAnsi="Times New Roman" w:cs="Times New Roman"/>
          <w:sz w:val="24"/>
          <w:szCs w:val="24"/>
        </w:rPr>
        <w:t>, a material</w:t>
      </w:r>
      <w:r w:rsidR="00CF6FB9" w:rsidRPr="00CB0C5E">
        <w:rPr>
          <w:rFonts w:ascii="Times New Roman" w:hAnsi="Times New Roman" w:cs="Times New Roman"/>
          <w:sz w:val="24"/>
          <w:szCs w:val="24"/>
        </w:rPr>
        <w:t xml:space="preserve"> extracted from semiprecious stone lapis lazuli. The canvas shrunk edged of the cracks in the painting makes up the soft edges while the hard green</w:t>
      </w:r>
      <w:r w:rsidR="00CB0C5E" w:rsidRPr="00CB0C5E">
        <w:rPr>
          <w:rFonts w:ascii="Times New Roman" w:hAnsi="Times New Roman" w:cs="Times New Roman"/>
          <w:sz w:val="24"/>
          <w:szCs w:val="24"/>
        </w:rPr>
        <w:t xml:space="preserve"> paint makes up the hard edges.</w:t>
      </w:r>
    </w:p>
    <w:p w:rsidR="00CF6FB9" w:rsidRPr="00CB0C5E" w:rsidRDefault="00CF6FB9" w:rsidP="0065104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0C5E">
        <w:rPr>
          <w:rFonts w:ascii="Times New Roman" w:hAnsi="Times New Roman" w:cs="Times New Roman"/>
          <w:sz w:val="24"/>
          <w:szCs w:val="24"/>
        </w:rPr>
        <w:t>The Neo-classical painting “David Napoleon in his study at the Tuileries”</w:t>
      </w:r>
      <w:r w:rsidR="00007C22" w:rsidRPr="00CB0C5E">
        <w:rPr>
          <w:rFonts w:ascii="Times New Roman" w:hAnsi="Times New Roman" w:cs="Times New Roman"/>
          <w:sz w:val="24"/>
          <w:szCs w:val="24"/>
        </w:rPr>
        <w:t xml:space="preserve"> was painted during the Age of French Revolution, which </w:t>
      </w:r>
      <w:r w:rsidR="00625F80">
        <w:rPr>
          <w:rFonts w:ascii="Times New Roman" w:hAnsi="Times New Roman" w:cs="Times New Roman"/>
          <w:sz w:val="24"/>
          <w:szCs w:val="24"/>
        </w:rPr>
        <w:t>o</w:t>
      </w:r>
      <w:r w:rsidR="00625F80" w:rsidRPr="00CB0C5E">
        <w:rPr>
          <w:rFonts w:ascii="Times New Roman" w:hAnsi="Times New Roman" w:cs="Times New Roman"/>
          <w:sz w:val="24"/>
          <w:szCs w:val="24"/>
        </w:rPr>
        <w:t>ccurred</w:t>
      </w:r>
      <w:r w:rsidR="00007C22" w:rsidRPr="00CB0C5E">
        <w:rPr>
          <w:rFonts w:ascii="Times New Roman" w:hAnsi="Times New Roman" w:cs="Times New Roman"/>
          <w:sz w:val="24"/>
          <w:szCs w:val="24"/>
        </w:rPr>
        <w:t xml:space="preserve"> in French between 1774 and 1830, precisely 1812 as indicated in sculpture in the painting. 1812 is also the year when the French </w:t>
      </w:r>
      <w:r w:rsidR="00A86F24" w:rsidRPr="00CB0C5E">
        <w:rPr>
          <w:rFonts w:ascii="Times New Roman" w:hAnsi="Times New Roman" w:cs="Times New Roman"/>
          <w:sz w:val="24"/>
          <w:szCs w:val="24"/>
        </w:rPr>
        <w:t>Emperor Napoleon I was in his study at Tuileries.</w:t>
      </w:r>
      <w:r w:rsidR="00007C22" w:rsidRPr="00CB0C5E">
        <w:rPr>
          <w:rFonts w:ascii="Times New Roman" w:hAnsi="Times New Roman" w:cs="Times New Roman"/>
          <w:sz w:val="24"/>
          <w:szCs w:val="24"/>
        </w:rPr>
        <w:t xml:space="preserve">  </w:t>
      </w:r>
      <w:r w:rsidR="00A86F24" w:rsidRPr="00CB0C5E">
        <w:rPr>
          <w:rFonts w:ascii="Times New Roman" w:hAnsi="Times New Roman" w:cs="Times New Roman"/>
          <w:sz w:val="24"/>
          <w:szCs w:val="24"/>
        </w:rPr>
        <w:t>The period can also</w:t>
      </w:r>
      <w:r w:rsidR="00007C22" w:rsidRPr="00CB0C5E">
        <w:rPr>
          <w:rFonts w:ascii="Times New Roman" w:hAnsi="Times New Roman" w:cs="Times New Roman"/>
          <w:sz w:val="24"/>
          <w:szCs w:val="24"/>
        </w:rPr>
        <w:t xml:space="preserve"> </w:t>
      </w:r>
      <w:r w:rsidR="00A86F24" w:rsidRPr="00CB0C5E">
        <w:rPr>
          <w:rFonts w:ascii="Times New Roman" w:hAnsi="Times New Roman" w:cs="Times New Roman"/>
          <w:sz w:val="24"/>
          <w:szCs w:val="24"/>
        </w:rPr>
        <w:t>be</w:t>
      </w:r>
      <w:r w:rsidR="00007C22" w:rsidRPr="00CB0C5E">
        <w:rPr>
          <w:rFonts w:ascii="Times New Roman" w:hAnsi="Times New Roman" w:cs="Times New Roman"/>
          <w:sz w:val="24"/>
          <w:szCs w:val="24"/>
        </w:rPr>
        <w:t xml:space="preserve"> supported by the neoclassical style the French painter used in the painting, which was considered to be </w:t>
      </w:r>
      <w:r w:rsidR="00625F80">
        <w:rPr>
          <w:rFonts w:ascii="Times New Roman" w:hAnsi="Times New Roman" w:cs="Times New Roman"/>
          <w:sz w:val="24"/>
          <w:szCs w:val="24"/>
        </w:rPr>
        <w:t xml:space="preserve">a </w:t>
      </w:r>
      <w:r w:rsidR="00625F80" w:rsidRPr="00CB0C5E">
        <w:rPr>
          <w:rFonts w:ascii="Times New Roman" w:hAnsi="Times New Roman" w:cs="Times New Roman"/>
          <w:sz w:val="24"/>
          <w:szCs w:val="24"/>
        </w:rPr>
        <w:t>preeminent painting</w:t>
      </w:r>
      <w:r w:rsidR="00A86F24" w:rsidRPr="00CB0C5E">
        <w:rPr>
          <w:rFonts w:ascii="Times New Roman" w:hAnsi="Times New Roman" w:cs="Times New Roman"/>
          <w:sz w:val="24"/>
          <w:szCs w:val="24"/>
        </w:rPr>
        <w:t xml:space="preserve"> style during the French Revolution Era</w:t>
      </w:r>
      <w:r w:rsidR="00CB0C5E" w:rsidRPr="00CB0C5E">
        <w:rPr>
          <w:rFonts w:ascii="Times New Roman" w:hAnsi="Times New Roman" w:cs="Times New Roman"/>
          <w:sz w:val="24"/>
          <w:szCs w:val="24"/>
        </w:rPr>
        <w:t>, (</w:t>
      </w:r>
      <w:r w:rsidR="00CB0C5E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Lee, 2013). </w:t>
      </w:r>
      <w:r w:rsidR="00007C22" w:rsidRPr="00CB0C5E">
        <w:rPr>
          <w:rFonts w:ascii="Times New Roman" w:hAnsi="Times New Roman" w:cs="Times New Roman"/>
          <w:sz w:val="24"/>
          <w:szCs w:val="24"/>
        </w:rPr>
        <w:t xml:space="preserve"> Additionally, the chiaroscuro of the painting is represented in the soft shadow at his right leg</w:t>
      </w:r>
      <w:r w:rsidR="00A86F24" w:rsidRPr="00CB0C5E">
        <w:rPr>
          <w:rFonts w:ascii="Times New Roman" w:hAnsi="Times New Roman" w:cs="Times New Roman"/>
          <w:sz w:val="24"/>
          <w:szCs w:val="24"/>
        </w:rPr>
        <w:t>. The Painter demonstrates his monochromatic style in the white uniform with wide lapels of a Colonel. The polychromatic color of the painting is in t</w:t>
      </w:r>
      <w:r w:rsidR="00A86F24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he blue jacket with the white finish and red inverted cuffs</w:t>
      </w:r>
      <w:r w:rsidR="00CB0C5E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gold epaulet. </w:t>
      </w:r>
      <w:r w:rsidR="00A86F24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0C5E"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the edges of the painting appear smooth, giving the painting a beautiful representation. </w:t>
      </w:r>
    </w:p>
    <w:p w:rsidR="00CB0C5E" w:rsidRDefault="00CB0C5E" w:rsidP="006510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CB0C5E" w:rsidRPr="00CB0C5E" w:rsidRDefault="00CB0C5E" w:rsidP="00651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CB0C5E" w:rsidRPr="00CB0C5E" w:rsidRDefault="00CB0C5E" w:rsidP="00651041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Lee, S. (2013). A newly discovered portrait of Napoleon by Jacques-Louis David. </w:t>
      </w:r>
      <w:r w:rsidR="00625F80"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</w:t>
      </w:r>
      <w:r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625F80"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Burlington</w:t>
      </w:r>
      <w:r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625F8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</w:t>
      </w:r>
      <w:r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agazine</w:t>
      </w: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155</w:t>
      </w: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, 687.</w:t>
      </w:r>
    </w:p>
    <w:p w:rsidR="00CB0C5E" w:rsidRPr="00CB0C5E" w:rsidRDefault="00CB0C5E" w:rsidP="00651041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Vandivere, A., Wadum, J., &amp; Leonhardt, E. (2020). The Girl in the Spotlight: Vermeer at work, his materials and techniques in Girl with a Pearl Earring. </w:t>
      </w:r>
      <w:r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Heritage Science</w:t>
      </w: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B0C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CB0C5E">
        <w:rPr>
          <w:rFonts w:ascii="Times New Roman" w:hAnsi="Times New Roman" w:cs="Times New Roman"/>
          <w:sz w:val="24"/>
          <w:szCs w:val="24"/>
          <w:shd w:val="clear" w:color="auto" w:fill="FFFFFF"/>
        </w:rPr>
        <w:t>(1), 1-10.</w:t>
      </w:r>
      <w:bookmarkEnd w:id="0"/>
    </w:p>
    <w:sectPr w:rsidR="00CB0C5E" w:rsidRPr="00CB0C5E" w:rsidSect="00CB0C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87F" w:rsidRDefault="0049087F" w:rsidP="00CB0C5E">
      <w:pPr>
        <w:spacing w:after="0" w:line="240" w:lineRule="auto"/>
      </w:pPr>
      <w:r>
        <w:separator/>
      </w:r>
    </w:p>
  </w:endnote>
  <w:endnote w:type="continuationSeparator" w:id="0">
    <w:p w:rsidR="0049087F" w:rsidRDefault="0049087F" w:rsidP="00CB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87F" w:rsidRDefault="0049087F" w:rsidP="00CB0C5E">
      <w:pPr>
        <w:spacing w:after="0" w:line="240" w:lineRule="auto"/>
      </w:pPr>
      <w:r>
        <w:separator/>
      </w:r>
    </w:p>
  </w:footnote>
  <w:footnote w:type="continuationSeparator" w:id="0">
    <w:p w:rsidR="0049087F" w:rsidRDefault="0049087F" w:rsidP="00CB0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05026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0C5E" w:rsidRPr="00CB0C5E" w:rsidRDefault="00CB0C5E" w:rsidP="00CB0C5E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CB0C5E">
          <w:rPr>
            <w:rFonts w:ascii="Times New Roman" w:hAnsi="Times New Roman" w:cs="Times New Roman"/>
            <w:sz w:val="24"/>
            <w:szCs w:val="24"/>
          </w:rPr>
          <w:t>BAROQUE AND NEO-CLASSICISM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10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B0C5E" w:rsidRDefault="00CB0C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C5E" w:rsidRPr="00CB0C5E" w:rsidRDefault="00CB0C5E" w:rsidP="00CB0C5E">
    <w:pPr>
      <w:spacing w:line="480" w:lineRule="auto"/>
      <w:rPr>
        <w:rFonts w:ascii="Times New Roman" w:hAnsi="Times New Roman" w:cs="Times New Roman"/>
        <w:noProof/>
        <w:sz w:val="24"/>
        <w:szCs w:val="24"/>
      </w:rPr>
    </w:pPr>
    <w:r w:rsidRPr="00CB0C5E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6285407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B0C5E">
          <w:rPr>
            <w:rFonts w:ascii="Times New Roman" w:hAnsi="Times New Roman" w:cs="Times New Roman"/>
            <w:sz w:val="24"/>
            <w:szCs w:val="24"/>
          </w:rPr>
          <w:t>BAROQUE AND NEO-CLASSICISM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</w:t>
        </w:r>
        <w:r w:rsidRPr="00CB0C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0C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0C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10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0C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B0C5E" w:rsidRPr="00CB0C5E" w:rsidRDefault="00CB0C5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NDC1sDA2tDA1MzFR0lEKTi0uzszPAykwrAUAid2PgywAAAA="/>
  </w:docVars>
  <w:rsids>
    <w:rsidRoot w:val="003019BB"/>
    <w:rsid w:val="00007C22"/>
    <w:rsid w:val="003019BB"/>
    <w:rsid w:val="0049087F"/>
    <w:rsid w:val="004D5CAB"/>
    <w:rsid w:val="00625F80"/>
    <w:rsid w:val="00651041"/>
    <w:rsid w:val="00695E2C"/>
    <w:rsid w:val="00A86F24"/>
    <w:rsid w:val="00CB0C5E"/>
    <w:rsid w:val="00CF6FB9"/>
    <w:rsid w:val="00E51E1C"/>
    <w:rsid w:val="00FC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41D66F-10F6-4441-B8AF-0345A64F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C5E"/>
  </w:style>
  <w:style w:type="paragraph" w:styleId="Footer">
    <w:name w:val="footer"/>
    <w:basedOn w:val="Normal"/>
    <w:link w:val="FooterChar"/>
    <w:uiPriority w:val="99"/>
    <w:unhideWhenUsed/>
    <w:rsid w:val="00CB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4</cp:revision>
  <dcterms:created xsi:type="dcterms:W3CDTF">2020-07-27T01:33:00Z</dcterms:created>
  <dcterms:modified xsi:type="dcterms:W3CDTF">2020-07-27T02:31:00Z</dcterms:modified>
</cp:coreProperties>
</file>